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张裕酒文化博物馆2021年</w:t>
      </w:r>
    </w:p>
    <w:p>
      <w:pPr>
        <w:spacing w:line="580" w:lineRule="exact"/>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工作总结</w:t>
      </w:r>
    </w:p>
    <w:p>
      <w:pPr>
        <w:ind w:firstLine="640" w:firstLineChars="200"/>
        <w:jc w:val="left"/>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2021年，在疫情反复的困难形势下，博物馆在继承和发展中弘扬优势，求新求变展现新气象。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 w:hAnsi="仿宋" w:eastAsia="仿宋" w:cs="仿宋"/>
          <w:sz w:val="28"/>
          <w:szCs w:val="28"/>
        </w:rPr>
      </w:pPr>
      <w:r>
        <w:rPr>
          <w:rFonts w:hint="eastAsia" w:ascii="黑体" w:hAnsi="黑体" w:eastAsia="黑体" w:cs="黑体"/>
          <w:b/>
          <w:sz w:val="32"/>
          <w:szCs w:val="32"/>
        </w:rPr>
        <w:t>一、经营情况</w:t>
      </w:r>
      <w:r>
        <w:rPr>
          <w:rFonts w:hint="eastAsia" w:ascii="仿宋" w:hAnsi="仿宋" w:eastAsia="仿宋" w:cs="仿宋"/>
          <w:b/>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累计实现资金回收1977万元，完成年计划2144万元的92.23%，比上年同期增加17万元，增长0.9%。发生费用1285万元，占计划1524万元的84.32%，比上年同期820万元增加46万元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累计实现利润总额42万元，比上年同期487万元减少445万元，降低92.9%。</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sz w:val="32"/>
          <w:szCs w:val="32"/>
          <w:lang w:eastAsia="zh-CN"/>
        </w:rPr>
      </w:pPr>
      <w:r>
        <w:rPr>
          <w:rFonts w:hint="eastAsia" w:ascii="黑体" w:hAnsi="黑体" w:eastAsia="黑体" w:cs="黑体"/>
          <w:b/>
          <w:sz w:val="32"/>
          <w:szCs w:val="32"/>
        </w:rPr>
        <w:t>二、</w:t>
      </w:r>
      <w:r>
        <w:rPr>
          <w:rFonts w:hint="eastAsia" w:ascii="黑体" w:hAnsi="黑体" w:eastAsia="黑体" w:cs="黑体"/>
          <w:b/>
          <w:sz w:val="32"/>
          <w:szCs w:val="32"/>
          <w:lang w:eastAsia="zh-CN"/>
        </w:rPr>
        <w:t>综合管理</w:t>
      </w:r>
    </w:p>
    <w:p>
      <w:pPr>
        <w:ind w:firstLine="643" w:firstLineChars="200"/>
        <w:rPr>
          <w:rFonts w:hint="eastAsia" w:ascii="楷体" w:hAnsi="楷体" w:eastAsia="楷体" w:cs="楷体"/>
          <w:b/>
          <w:bCs/>
          <w:color w:val="000000"/>
          <w:sz w:val="32"/>
          <w:szCs w:val="32"/>
        </w:rPr>
      </w:pPr>
      <w:r>
        <w:rPr>
          <w:rFonts w:hint="eastAsia" w:ascii="楷体" w:hAnsi="楷体" w:eastAsia="楷体" w:cs="楷体"/>
          <w:b/>
          <w:bCs w:val="0"/>
          <w:color w:val="000000"/>
          <w:sz w:val="32"/>
          <w:szCs w:val="32"/>
        </w:rPr>
        <w:t>（一）</w:t>
      </w:r>
      <w:r>
        <w:rPr>
          <w:rFonts w:hint="eastAsia" w:ascii="楷体" w:hAnsi="楷体" w:eastAsia="楷体" w:cs="楷体"/>
          <w:b/>
          <w:bCs w:val="0"/>
          <w:color w:val="000000"/>
          <w:sz w:val="32"/>
          <w:szCs w:val="32"/>
          <w:lang w:eastAsia="zh-CN"/>
        </w:rPr>
        <w:t>完善</w:t>
      </w:r>
      <w:r>
        <w:rPr>
          <w:rFonts w:hint="eastAsia" w:ascii="楷体" w:hAnsi="楷体" w:eastAsia="楷体" w:cs="楷体"/>
          <w:b/>
          <w:bCs w:val="0"/>
          <w:color w:val="000000"/>
          <w:sz w:val="32"/>
          <w:szCs w:val="32"/>
        </w:rPr>
        <w:t>部门</w:t>
      </w:r>
      <w:r>
        <w:rPr>
          <w:rFonts w:hint="eastAsia" w:ascii="楷体" w:hAnsi="楷体" w:eastAsia="楷体" w:cs="楷体"/>
          <w:b/>
          <w:bCs w:val="0"/>
          <w:color w:val="000000"/>
          <w:sz w:val="32"/>
          <w:szCs w:val="32"/>
          <w:lang w:eastAsia="zh-CN"/>
        </w:rPr>
        <w:t>职责</w:t>
      </w:r>
      <w:r>
        <w:rPr>
          <w:rFonts w:hint="eastAsia" w:ascii="楷体" w:hAnsi="楷体" w:eastAsia="楷体" w:cs="楷体"/>
          <w:b/>
          <w:bCs w:val="0"/>
          <w:color w:val="000000"/>
          <w:sz w:val="32"/>
          <w:szCs w:val="32"/>
        </w:rPr>
        <w:t>，发挥调动科级干部和骨干人员</w:t>
      </w:r>
      <w:r>
        <w:rPr>
          <w:rFonts w:hint="eastAsia" w:ascii="楷体" w:hAnsi="楷体" w:eastAsia="楷体" w:cs="楷体"/>
          <w:b/>
          <w:bCs w:val="0"/>
          <w:color w:val="000000"/>
          <w:sz w:val="32"/>
          <w:szCs w:val="32"/>
          <w:lang w:eastAsia="zh-CN"/>
        </w:rPr>
        <w:t>的</w:t>
      </w:r>
      <w:r>
        <w:rPr>
          <w:rFonts w:hint="eastAsia" w:ascii="楷体" w:hAnsi="楷体" w:eastAsia="楷体" w:cs="楷体"/>
          <w:b/>
          <w:bCs w:val="0"/>
          <w:color w:val="000000"/>
          <w:sz w:val="32"/>
          <w:szCs w:val="32"/>
        </w:rPr>
        <w:t>创造性</w:t>
      </w:r>
      <w:r>
        <w:rPr>
          <w:rFonts w:hint="eastAsia" w:ascii="楷体" w:hAnsi="楷体" w:eastAsia="楷体" w:cs="楷体"/>
          <w:b/>
          <w:bCs w:val="0"/>
          <w:color w:val="000000"/>
          <w:sz w:val="32"/>
          <w:szCs w:val="32"/>
          <w:lang w:eastAsia="zh-CN"/>
        </w:rPr>
        <w:t>和专业性</w:t>
      </w:r>
      <w:r>
        <w:rPr>
          <w:rFonts w:hint="eastAsia" w:ascii="楷体" w:hAnsi="楷体" w:eastAsia="楷体" w:cs="楷体"/>
          <w:b/>
          <w:bCs w:val="0"/>
          <w:color w:val="00000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主要采取了三项措施：一是</w:t>
      </w:r>
      <w:r>
        <w:rPr>
          <w:rFonts w:hint="eastAsia" w:ascii="仿宋_GB2312" w:hAnsi="仿宋_GB2312" w:eastAsia="仿宋_GB2312" w:cs="仿宋_GB2312"/>
          <w:sz w:val="32"/>
          <w:szCs w:val="32"/>
          <w:lang w:eastAsia="zh-CN"/>
        </w:rPr>
        <w:t>重新修订</w:t>
      </w:r>
      <w:r>
        <w:rPr>
          <w:rFonts w:hint="eastAsia" w:ascii="仿宋_GB2312" w:hAnsi="仿宋_GB2312" w:eastAsia="仿宋_GB2312" w:cs="仿宋_GB2312"/>
          <w:sz w:val="32"/>
          <w:szCs w:val="32"/>
        </w:rPr>
        <w:t>部门职责</w:t>
      </w:r>
      <w:r>
        <w:rPr>
          <w:rFonts w:hint="eastAsia" w:ascii="仿宋_GB2312" w:hAnsi="仿宋_GB2312" w:eastAsia="仿宋_GB2312" w:cs="仿宋_GB2312"/>
          <w:sz w:val="32"/>
          <w:szCs w:val="32"/>
          <w:lang w:eastAsia="zh-CN"/>
        </w:rPr>
        <w:t>，宣传教育部与商品业务部增加</w:t>
      </w:r>
      <w:r>
        <w:rPr>
          <w:rFonts w:hint="eastAsia" w:ascii="仿宋_GB2312" w:hAnsi="仿宋_GB2312" w:eastAsia="仿宋_GB2312" w:cs="仿宋_GB2312"/>
          <w:sz w:val="32"/>
          <w:szCs w:val="32"/>
        </w:rPr>
        <w:t>经济责任制</w:t>
      </w:r>
      <w:r>
        <w:rPr>
          <w:rFonts w:hint="eastAsia" w:ascii="仿宋_GB2312" w:hAnsi="仿宋_GB2312" w:eastAsia="仿宋_GB2312" w:cs="仿宋_GB2312"/>
          <w:sz w:val="32"/>
          <w:szCs w:val="32"/>
          <w:lang w:eastAsia="zh-CN"/>
        </w:rPr>
        <w:t>内容</w:t>
      </w:r>
      <w:r>
        <w:rPr>
          <w:rFonts w:hint="eastAsia" w:ascii="仿宋_GB2312" w:hAnsi="仿宋_GB2312" w:eastAsia="仿宋_GB2312" w:cs="仿宋_GB2312"/>
          <w:sz w:val="32"/>
          <w:szCs w:val="32"/>
        </w:rPr>
        <w:t>；二是召开专题会统一思想；三是通过</w:t>
      </w:r>
      <w:r>
        <w:rPr>
          <w:rFonts w:hint="eastAsia" w:ascii="仿宋_GB2312" w:hAnsi="仿宋_GB2312" w:eastAsia="仿宋_GB2312" w:cs="仿宋_GB2312"/>
          <w:sz w:val="32"/>
          <w:szCs w:val="32"/>
          <w:lang w:eastAsia="zh-CN"/>
        </w:rPr>
        <w:t>馆</w:t>
      </w:r>
      <w:r>
        <w:rPr>
          <w:rFonts w:hint="eastAsia" w:ascii="仿宋_GB2312" w:hAnsi="仿宋_GB2312" w:eastAsia="仿宋_GB2312" w:cs="仿宋_GB2312"/>
          <w:sz w:val="32"/>
          <w:szCs w:val="32"/>
        </w:rPr>
        <w:t>周例会、值班日志、思政例会等不同形式，强化过程管理</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考核。</w:t>
      </w:r>
    </w:p>
    <w:p>
      <w:pPr>
        <w:ind w:firstLine="643" w:firstLineChars="200"/>
        <w:rPr>
          <w:rFonts w:hint="eastAsia" w:ascii="楷体" w:hAnsi="楷体" w:eastAsia="楷体" w:cs="楷体"/>
          <w:b/>
          <w:bCs w:val="0"/>
          <w:color w:val="000000"/>
          <w:sz w:val="32"/>
          <w:szCs w:val="32"/>
        </w:rPr>
      </w:pPr>
      <w:r>
        <w:rPr>
          <w:rFonts w:hint="eastAsia" w:ascii="楷体" w:hAnsi="楷体" w:eastAsia="楷体" w:cs="楷体"/>
          <w:b/>
          <w:bCs w:val="0"/>
          <w:color w:val="000000"/>
          <w:sz w:val="32"/>
          <w:szCs w:val="32"/>
        </w:rPr>
        <w:t>（二）安全、防疫以及细节管理常抓不懈。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牢记</w:t>
      </w:r>
      <w:r>
        <w:rPr>
          <w:rFonts w:hint="eastAsia" w:ascii="仿宋_GB2312" w:hAnsi="仿宋_GB2312" w:eastAsia="仿宋_GB2312" w:cs="仿宋_GB2312"/>
          <w:sz w:val="32"/>
          <w:szCs w:val="32"/>
          <w:lang w:eastAsia="zh-CN"/>
        </w:rPr>
        <w:t>集团公司</w:t>
      </w:r>
      <w:r>
        <w:rPr>
          <w:rFonts w:hint="eastAsia" w:ascii="仿宋_GB2312" w:hAnsi="仿宋_GB2312" w:eastAsia="仿宋_GB2312" w:cs="仿宋_GB2312"/>
          <w:sz w:val="32"/>
          <w:szCs w:val="32"/>
        </w:rPr>
        <w:t>董事长提出的“把小事当大事、没事当有事、有事就要查到底”的安全防范要求，在上半年高频次的安全检查、下半年严峻的疫情防控的形势下，不放松细节管理。博物馆由于创城工作出色，被评为烟台市第一批文明示范点。</w:t>
      </w:r>
    </w:p>
    <w:p>
      <w:pPr>
        <w:ind w:firstLine="643" w:firstLineChars="200"/>
        <w:rPr>
          <w:rFonts w:hint="eastAsia" w:ascii="楷体" w:hAnsi="楷体" w:eastAsia="楷体" w:cs="楷体"/>
          <w:b/>
          <w:bCs w:val="0"/>
          <w:color w:val="000000"/>
          <w:sz w:val="32"/>
          <w:szCs w:val="32"/>
        </w:rPr>
      </w:pPr>
      <w:r>
        <w:rPr>
          <w:rFonts w:hint="eastAsia" w:ascii="楷体" w:hAnsi="楷体" w:eastAsia="楷体" w:cs="楷体"/>
          <w:b/>
          <w:bCs w:val="0"/>
          <w:color w:val="000000"/>
          <w:sz w:val="32"/>
          <w:szCs w:val="32"/>
          <w:lang w:eastAsia="zh-CN"/>
        </w:rPr>
        <w:t>（三）</w:t>
      </w:r>
      <w:r>
        <w:rPr>
          <w:rFonts w:hint="eastAsia" w:ascii="楷体" w:hAnsi="楷体" w:eastAsia="楷体" w:cs="楷体"/>
          <w:b/>
          <w:bCs w:val="0"/>
          <w:color w:val="000000"/>
          <w:sz w:val="32"/>
          <w:szCs w:val="32"/>
        </w:rPr>
        <w:t>党建工作与经营管理紧密结合，促进博物馆各项工作和谐发展。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w:t>
      </w:r>
      <w:r>
        <w:rPr>
          <w:rFonts w:hint="eastAsia" w:ascii="仿宋_GB2312" w:hAnsi="仿宋_GB2312" w:eastAsia="仿宋_GB2312" w:cs="仿宋_GB2312"/>
          <w:sz w:val="32"/>
          <w:szCs w:val="32"/>
          <w:lang w:eastAsia="zh-CN"/>
        </w:rPr>
        <w:t>博物馆</w:t>
      </w:r>
      <w:r>
        <w:rPr>
          <w:rFonts w:hint="eastAsia" w:ascii="仿宋_GB2312" w:hAnsi="仿宋_GB2312" w:eastAsia="仿宋_GB2312" w:cs="仿宋_GB2312"/>
          <w:sz w:val="32"/>
          <w:szCs w:val="32"/>
        </w:rPr>
        <w:t>支部学习计划和实施方案，利用“三会一课”开展业务经营典型经验交流3次，通过支部推荐专业书籍自主学习、调度学习强国日常学习等方式，要求党员带头，把学习成果转化为谋划工作的思路和具体措施。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sz w:val="32"/>
          <w:szCs w:val="32"/>
          <w:lang w:eastAsia="zh-CN"/>
        </w:rPr>
      </w:pPr>
      <w:r>
        <w:rPr>
          <w:rFonts w:hint="eastAsia" w:ascii="黑体" w:hAnsi="黑体" w:eastAsia="黑体" w:cs="黑体"/>
          <w:b/>
          <w:sz w:val="32"/>
          <w:szCs w:val="32"/>
          <w:lang w:eastAsia="zh-CN"/>
        </w:rPr>
        <w:t>三、宣传与展览</w:t>
      </w:r>
    </w:p>
    <w:p>
      <w:pPr>
        <w:ind w:firstLine="643" w:firstLineChars="200"/>
        <w:rPr>
          <w:rFonts w:hint="eastAsia" w:ascii="楷体" w:hAnsi="楷体" w:eastAsia="楷体" w:cs="楷体"/>
          <w:b/>
          <w:bCs w:val="0"/>
          <w:color w:val="000000"/>
          <w:sz w:val="32"/>
          <w:szCs w:val="32"/>
          <w:lang w:eastAsia="zh-CN"/>
        </w:rPr>
      </w:pPr>
      <w:r>
        <w:rPr>
          <w:rFonts w:hint="eastAsia" w:ascii="楷体" w:hAnsi="楷体" w:eastAsia="楷体" w:cs="楷体"/>
          <w:b/>
          <w:bCs w:val="0"/>
          <w:color w:val="000000"/>
          <w:sz w:val="32"/>
          <w:szCs w:val="32"/>
          <w:lang w:eastAsia="zh-CN"/>
        </w:rPr>
        <w:t>（一）发挥博物馆服务和文化优势，调整客源结构向高品质转变。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1、为开拓韩国旅游市场，继续加强与韩国各旅行商的合作，使更多的韩国游客到张裕博物馆来，张裕博物馆参加韩国最大的哈拿多乐旅游博览会，以高品质的葡萄酒产品和优质服务欢迎海外游客的到来。</w:t>
      </w:r>
    </w:p>
    <w:p>
      <w:pPr>
        <w:rPr>
          <w:rFonts w:hint="eastAsia" w:ascii="仿宋_GB2312" w:eastAsia="仿宋_GB2312" w:hAnsiTheme="minorEastAsia"/>
          <w:sz w:val="30"/>
          <w:szCs w:val="30"/>
          <w:lang w:eastAsia="zh-CN"/>
        </w:rPr>
      </w:pPr>
      <w:r>
        <w:rPr>
          <w:rFonts w:hint="eastAsia" w:ascii="仿宋_GB2312" w:eastAsia="仿宋_GB2312" w:hAnsiTheme="minorEastAsia"/>
          <w:sz w:val="30"/>
          <w:szCs w:val="30"/>
          <w:lang w:eastAsia="zh-CN"/>
        </w:rPr>
        <w:drawing>
          <wp:inline distT="0" distB="0" distL="114300" distR="114300">
            <wp:extent cx="2987040" cy="2319655"/>
            <wp:effectExtent l="0" t="0" r="3810" b="4445"/>
            <wp:docPr id="54" name="图片 54" descr="IMG_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0391"/>
                    <pic:cNvPicPr>
                      <a:picLocks noChangeAspect="1"/>
                    </pic:cNvPicPr>
                  </pic:nvPicPr>
                  <pic:blipFill>
                    <a:blip r:embed="rId5"/>
                    <a:stretch>
                      <a:fillRect/>
                    </a:stretch>
                  </pic:blipFill>
                  <pic:spPr>
                    <a:xfrm>
                      <a:off x="0" y="0"/>
                      <a:ext cx="2987040" cy="2319655"/>
                    </a:xfrm>
                    <a:prstGeom prst="rect">
                      <a:avLst/>
                    </a:prstGeom>
                  </pic:spPr>
                </pic:pic>
              </a:graphicData>
            </a:graphic>
          </wp:inline>
        </w:drawing>
      </w:r>
      <w:r>
        <w:rPr>
          <w:rFonts w:hint="eastAsia" w:ascii="仿宋_GB2312" w:eastAsia="仿宋_GB2312" w:hAnsiTheme="minorEastAsia"/>
          <w:sz w:val="30"/>
          <w:szCs w:val="30"/>
          <w:lang w:val="en-US" w:eastAsia="zh-CN"/>
        </w:rPr>
        <w:t xml:space="preserve"> </w:t>
      </w:r>
      <w:r>
        <w:rPr>
          <w:rFonts w:hint="eastAsia" w:ascii="仿宋_GB2312" w:eastAsia="仿宋_GB2312" w:hAnsiTheme="minorEastAsia"/>
          <w:sz w:val="30"/>
          <w:szCs w:val="30"/>
          <w:lang w:eastAsia="zh-CN"/>
        </w:rPr>
        <w:drawing>
          <wp:inline distT="0" distB="0" distL="114300" distR="114300">
            <wp:extent cx="2150110" cy="2330450"/>
            <wp:effectExtent l="0" t="0" r="2540" b="12700"/>
            <wp:docPr id="53" name="图片 53" descr="IMG_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0390"/>
                    <pic:cNvPicPr>
                      <a:picLocks noChangeAspect="1"/>
                    </pic:cNvPicPr>
                  </pic:nvPicPr>
                  <pic:blipFill>
                    <a:blip r:embed="rId6"/>
                    <a:stretch>
                      <a:fillRect/>
                    </a:stretch>
                  </pic:blipFill>
                  <pic:spPr>
                    <a:xfrm>
                      <a:off x="0" y="0"/>
                      <a:ext cx="2150110" cy="2330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2、与国内大型组团社广之旅合作</w:t>
      </w:r>
      <w:r>
        <w:rPr>
          <w:rFonts w:hint="default" w:ascii="仿宋_GB2312" w:hAnsi="仿宋_GB2312" w:eastAsia="仿宋_GB2312" w:cs="仿宋_GB2312"/>
          <w:sz w:val="32"/>
          <w:szCs w:val="32"/>
          <w:lang w:val="en-US" w:eastAsia="zh-CN"/>
        </w:rPr>
        <w:t>推出</w:t>
      </w:r>
      <w:r>
        <w:rPr>
          <w:rFonts w:hint="eastAsia" w:ascii="仿宋_GB2312" w:hAnsi="仿宋_GB2312" w:eastAsia="仿宋_GB2312" w:cs="仿宋_GB2312"/>
          <w:sz w:val="32"/>
          <w:szCs w:val="32"/>
          <w:lang w:val="en-US" w:eastAsia="zh-CN"/>
        </w:rPr>
        <w:t>精品</w:t>
      </w:r>
      <w:r>
        <w:rPr>
          <w:rFonts w:hint="default" w:ascii="仿宋_GB2312" w:hAnsi="仿宋_GB2312" w:eastAsia="仿宋_GB2312" w:cs="仿宋_GB2312"/>
          <w:sz w:val="32"/>
          <w:szCs w:val="32"/>
          <w:lang w:val="en-US" w:eastAsia="zh-CN"/>
        </w:rPr>
        <w:t>旅游线路</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将博物馆作为</w:t>
      </w:r>
      <w:r>
        <w:rPr>
          <w:rFonts w:hint="eastAsia" w:ascii="仿宋_GB2312" w:hAnsi="仿宋_GB2312" w:eastAsia="仿宋_GB2312" w:cs="仿宋_GB2312"/>
          <w:sz w:val="32"/>
          <w:szCs w:val="32"/>
          <w:lang w:val="en-US" w:eastAsia="zh-CN"/>
        </w:rPr>
        <w:t>线路</w:t>
      </w:r>
      <w:r>
        <w:rPr>
          <w:rFonts w:hint="default" w:ascii="仿宋_GB2312" w:hAnsi="仿宋_GB2312" w:eastAsia="仿宋_GB2312" w:cs="仿宋_GB2312"/>
          <w:sz w:val="32"/>
          <w:szCs w:val="32"/>
          <w:lang w:val="en-US" w:eastAsia="zh-CN"/>
        </w:rPr>
        <w:t>内重要推荐景点</w:t>
      </w:r>
      <w:r>
        <w:rPr>
          <w:rFonts w:hint="eastAsia" w:ascii="仿宋_GB2312" w:hAnsi="仿宋_GB2312" w:eastAsia="仿宋_GB2312" w:cs="仿宋_GB2312"/>
          <w:sz w:val="32"/>
          <w:szCs w:val="32"/>
          <w:lang w:val="en-US" w:eastAsia="zh-CN"/>
        </w:rPr>
        <w:t>。</w:t>
      </w:r>
    </w:p>
    <w:p>
      <w:pPr>
        <w:numPr>
          <w:ilvl w:val="0"/>
          <w:numId w:val="0"/>
        </w:numPr>
        <w:jc w:val="center"/>
        <w:rPr>
          <w:rFonts w:hint="eastAsia" w:ascii="仿宋" w:hAnsi="仿宋" w:eastAsia="仿宋"/>
          <w:sz w:val="30"/>
          <w:szCs w:val="30"/>
          <w:lang w:val="en-US" w:eastAsia="zh-CN"/>
        </w:rPr>
      </w:pPr>
      <w:r>
        <w:rPr>
          <w:rFonts w:hint="default" w:ascii="仿宋" w:hAnsi="仿宋" w:eastAsia="仿宋" w:cs="仿宋"/>
          <w:sz w:val="32"/>
          <w:szCs w:val="32"/>
          <w:lang w:val="en-US" w:eastAsia="zh-CN"/>
        </w:rPr>
        <w:drawing>
          <wp:inline distT="0" distB="0" distL="114300" distR="114300">
            <wp:extent cx="3164840" cy="4729480"/>
            <wp:effectExtent l="0" t="0" r="16510" b="13970"/>
            <wp:docPr id="67" name="图片 67" descr="4EFCE32F67E1C0E8CD3B6C64D1340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4EFCE32F67E1C0E8CD3B6C64D13403F8"/>
                    <pic:cNvPicPr>
                      <a:picLocks noChangeAspect="1"/>
                    </pic:cNvPicPr>
                  </pic:nvPicPr>
                  <pic:blipFill>
                    <a:blip r:embed="rId7"/>
                    <a:stretch>
                      <a:fillRect/>
                    </a:stretch>
                  </pic:blipFill>
                  <pic:spPr>
                    <a:xfrm>
                      <a:off x="0" y="0"/>
                      <a:ext cx="3164840" cy="4729480"/>
                    </a:xfrm>
                    <a:prstGeom prst="rect">
                      <a:avLst/>
                    </a:prstGeom>
                  </pic:spPr>
                </pic:pic>
              </a:graphicData>
            </a:graphic>
          </wp:inline>
        </w:drawing>
      </w:r>
    </w:p>
    <w:p>
      <w:pPr>
        <w:rPr>
          <w:rFonts w:hint="eastAsia" w:ascii="仿宋_GB2312" w:eastAsia="仿宋_GB2312" w:hAnsiTheme="minorEastAsia"/>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p>
    <w:p>
      <w:pPr>
        <w:ind w:firstLine="643" w:firstLineChars="200"/>
        <w:rPr>
          <w:rFonts w:hint="eastAsia" w:ascii="楷体" w:hAnsi="楷体" w:eastAsia="楷体" w:cs="楷体"/>
          <w:b/>
          <w:bCs w:val="0"/>
          <w:color w:val="000000"/>
          <w:sz w:val="32"/>
          <w:szCs w:val="32"/>
          <w:lang w:eastAsia="zh-CN"/>
        </w:rPr>
      </w:pPr>
      <w:r>
        <w:rPr>
          <w:rFonts w:hint="eastAsia" w:ascii="楷体" w:hAnsi="楷体" w:eastAsia="楷体" w:cs="楷体"/>
          <w:b/>
          <w:bCs w:val="0"/>
          <w:color w:val="000000"/>
          <w:sz w:val="32"/>
          <w:szCs w:val="32"/>
          <w:lang w:eastAsia="zh-CN"/>
        </w:rPr>
        <w:t>（二）策划形式多样、健康向上的专题活动，以高品质服务赢得口碑。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全年策划有针对性的营销活动15场，其中面向 “红酒发烧友”的高端品鉴课程初步试水本地市场；首届张裕“醉诗仙”诗词大赛”，收到省内各界诗词稿件一千余首，集结《百年芬芳》画册；第二届省级研学创新路线设计大赛，博物馆的研学课程获得三等奖，被省文旅厅纳入到山东省100条精品研学线路中。</w:t>
      </w:r>
    </w:p>
    <w:p>
      <w:pPr>
        <w:ind w:firstLine="420" w:firstLineChars="200"/>
        <w:jc w:val="center"/>
      </w:pPr>
      <w:r>
        <w:drawing>
          <wp:inline distT="0" distB="0" distL="114300" distR="114300">
            <wp:extent cx="4878705" cy="2667000"/>
            <wp:effectExtent l="48895" t="41275" r="63500" b="8159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78705" cy="2667000"/>
                    </a:xfrm>
                    <a:prstGeom prst="roundRect">
                      <a:avLst>
                        <a:gd name="adj" fmla="val 4167"/>
                      </a:avLst>
                    </a:prstGeom>
                    <a:solidFill>
                      <a:srgbClr val="FFFFFF"/>
                    </a:solidFill>
                    <a:ln w="76200" cap="sq">
                      <a:solidFill>
                        <a:srgbClr val="EAEAEA"/>
                      </a:solidFill>
                      <a:miter lim="800000"/>
                      <a:headEnd/>
                      <a:tailEn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pPr>
        <w:ind w:firstLine="420" w:firstLineChars="200"/>
      </w:pPr>
    </w:p>
    <w:p>
      <w:pPr>
        <w:ind w:firstLine="420" w:firstLineChars="200"/>
        <w:rPr>
          <w:rFonts w:hint="eastAsia"/>
        </w:rPr>
      </w:pPr>
    </w:p>
    <w:p>
      <w:pPr>
        <w:ind w:firstLine="420" w:firstLineChars="200"/>
        <w:jc w:val="center"/>
      </w:pPr>
      <w:r>
        <w:drawing>
          <wp:inline distT="0" distB="0" distL="114300" distR="114300">
            <wp:extent cx="4820285" cy="3027680"/>
            <wp:effectExtent l="10795" t="0" r="26670" b="85852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20285" cy="3027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ind w:firstLine="420" w:firstLineChars="200"/>
        <w:jc w:val="center"/>
      </w:pPr>
      <w:r>
        <w:drawing>
          <wp:inline distT="0" distB="0" distL="114300" distR="114300">
            <wp:extent cx="4716780" cy="3537585"/>
            <wp:effectExtent l="10795" t="0" r="15875" b="101536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16780" cy="35375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ind w:firstLine="420" w:firstLineChars="200"/>
        <w:rPr>
          <w:rFonts w:hint="eastAsia"/>
        </w:rPr>
      </w:pPr>
    </w:p>
    <w:p>
      <w:pPr>
        <w:ind w:firstLine="643" w:firstLineChars="200"/>
        <w:rPr>
          <w:rFonts w:hint="eastAsia" w:ascii="楷体" w:hAnsi="楷体" w:eastAsia="楷体" w:cs="楷体"/>
          <w:b/>
          <w:color w:val="000000"/>
          <w:sz w:val="32"/>
          <w:szCs w:val="32"/>
        </w:rPr>
      </w:pPr>
      <w:r>
        <w:rPr>
          <w:rFonts w:hint="eastAsia" w:ascii="楷体" w:hAnsi="楷体" w:eastAsia="楷体" w:cs="楷体"/>
          <w:b/>
          <w:color w:val="000000"/>
          <w:sz w:val="32"/>
          <w:szCs w:val="32"/>
        </w:rPr>
        <w:t>（</w:t>
      </w:r>
      <w:r>
        <w:rPr>
          <w:rFonts w:hint="eastAsia" w:ascii="楷体" w:hAnsi="楷体" w:eastAsia="楷体" w:cs="楷体"/>
          <w:b/>
          <w:color w:val="000000"/>
          <w:sz w:val="32"/>
          <w:szCs w:val="32"/>
          <w:lang w:eastAsia="zh-CN"/>
        </w:rPr>
        <w:t>三</w:t>
      </w:r>
      <w:r>
        <w:rPr>
          <w:rFonts w:hint="eastAsia" w:ascii="楷体" w:hAnsi="楷体" w:eastAsia="楷体" w:cs="楷体"/>
          <w:b/>
          <w:color w:val="000000"/>
          <w:sz w:val="32"/>
          <w:szCs w:val="32"/>
        </w:rPr>
        <w:t>）</w:t>
      </w:r>
      <w:r>
        <w:rPr>
          <w:rFonts w:hint="eastAsia" w:ascii="楷体" w:hAnsi="楷体" w:eastAsia="楷体" w:cs="楷体"/>
          <w:b/>
          <w:color w:val="000000"/>
          <w:sz w:val="32"/>
          <w:szCs w:val="32"/>
          <w:lang w:eastAsia="zh-CN"/>
        </w:rPr>
        <w:t>开展藏品临展活动和服务市场工作，为公司品牌赋能</w:t>
      </w:r>
      <w:r>
        <w:rPr>
          <w:rFonts w:hint="eastAsia" w:ascii="楷体" w:hAnsi="楷体" w:eastAsia="楷体" w:cs="楷体"/>
          <w:b/>
          <w:color w:val="00000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博物馆历史资料等藏品用于举办临时展览全年十余次。先锋国际酒业公司利用味美思、康有为题词相关藏品用于成都糖酒会“国民老味道，国民新选择“味美思品牌复兴主题展；鲁中葡营销管理公司、北京营销公司利用国宴菜单用于爱斐堡“世界蛇龙珠日”活动等。</w:t>
      </w:r>
    </w:p>
    <w:p>
      <w:pPr>
        <w:jc w:val="center"/>
        <w:rPr>
          <w:rFonts w:hint="eastAsia" w:ascii="仿宋" w:hAnsi="仿宋" w:eastAsia="仿宋"/>
          <w:sz w:val="30"/>
          <w:szCs w:val="30"/>
          <w:lang w:eastAsia="zh-CN"/>
        </w:rPr>
      </w:pPr>
      <w:r>
        <w:rPr>
          <w:rFonts w:hint="eastAsia" w:ascii="仿宋" w:hAnsi="仿宋" w:eastAsia="仿宋"/>
          <w:sz w:val="30"/>
          <w:szCs w:val="30"/>
          <w:lang w:eastAsia="zh-CN"/>
        </w:rPr>
        <w:drawing>
          <wp:inline distT="0" distB="0" distL="114300" distR="114300">
            <wp:extent cx="5273675" cy="3515995"/>
            <wp:effectExtent l="0" t="0" r="3175" b="8255"/>
            <wp:docPr id="1" name="图片 1" descr="b8065b316dbb4b9ee2abe2b56719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8065b316dbb4b9ee2abe2b56719bb7"/>
                    <pic:cNvPicPr>
                      <a:picLocks noChangeAspect="1"/>
                    </pic:cNvPicPr>
                  </pic:nvPicPr>
                  <pic:blipFill>
                    <a:blip r:embed="rId11"/>
                    <a:stretch>
                      <a:fillRect/>
                    </a:stretch>
                  </pic:blipFill>
                  <pic:spPr>
                    <a:xfrm>
                      <a:off x="0" y="0"/>
                      <a:ext cx="5273675" cy="3515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在完成公司重要接待的同时，用优良服务为市场助力。以高标准服务，接待山东名酒店俱乐部年会、30省委党校研讨会人员参观、以及全国城市经理参观工业园等重要活动。加力协同市场开展文化服务，参与上海北外滩张裕酒窖项目策划。</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sz w:val="32"/>
          <w:szCs w:val="32"/>
          <w:lang w:eastAsia="zh-CN"/>
        </w:rPr>
      </w:pPr>
      <w:r>
        <w:rPr>
          <w:rFonts w:hint="eastAsia" w:ascii="黑体" w:hAnsi="黑体" w:eastAsia="黑体" w:cs="黑体"/>
          <w:b/>
          <w:sz w:val="32"/>
          <w:szCs w:val="32"/>
          <w:lang w:eastAsia="zh-CN"/>
        </w:rPr>
        <w:t>四、学术研究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虽然有疫情影响，我馆充分利用线上参加国际、国家学术会议共7场。李记明博士参加俄罗斯圣彼得堡 VinoGrad葡萄酒行业论坛线上会议和中国-国际葡萄与葡萄酒组织研讨会。葡萄酒与博物馆研究部乔冠楠赴澳洲进行橡木桶与葡萄酒陈酿时间的交流研学活动。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w:t>
      </w:r>
      <w:r>
        <w:rPr>
          <w:rFonts w:hint="eastAsia" w:ascii="仿宋" w:hAnsi="仿宋" w:eastAsia="仿宋" w:cs="仿宋"/>
          <w:sz w:val="24"/>
          <w:szCs w:val="24"/>
        </w:rPr>
        <w:t>Journal of Agricultural and Food Chemistry</w:t>
      </w:r>
      <w:r>
        <w:rPr>
          <w:rFonts w:hint="eastAsia" w:ascii="仿宋_GB2312" w:hAnsi="仿宋_GB2312" w:eastAsia="仿宋_GB2312" w:cs="仿宋_GB2312"/>
          <w:sz w:val="32"/>
          <w:szCs w:val="32"/>
          <w:lang w:val="en-US" w:eastAsia="zh-CN"/>
        </w:rPr>
        <w:t>》《中国酿造》、《中外葡萄与葡萄酒》等国内外期刊上发表论文8篇。</w:t>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sz w:val="32"/>
          <w:szCs w:val="32"/>
          <w:lang w:eastAsia="zh-CN"/>
        </w:rPr>
      </w:pPr>
      <w:r>
        <w:rPr>
          <w:rFonts w:hint="eastAsia" w:ascii="黑体" w:hAnsi="黑体" w:eastAsia="黑体" w:cs="黑体"/>
          <w:b/>
          <w:sz w:val="32"/>
          <w:szCs w:val="32"/>
          <w:lang w:eastAsia="zh-CN"/>
        </w:rPr>
        <w:t>五、社会服务</w:t>
      </w:r>
    </w:p>
    <w:p>
      <w:pPr>
        <w:numPr>
          <w:ilvl w:val="0"/>
          <w:numId w:val="0"/>
        </w:numPr>
        <w:ind w:firstLine="643" w:firstLineChars="200"/>
        <w:rPr>
          <w:rFonts w:hint="eastAsia" w:ascii="楷体" w:hAnsi="楷体" w:eastAsia="楷体" w:cs="楷体"/>
          <w:b/>
          <w:color w:val="000000"/>
          <w:sz w:val="32"/>
          <w:szCs w:val="32"/>
          <w:lang w:eastAsia="zh-CN"/>
        </w:rPr>
      </w:pPr>
      <w:r>
        <w:rPr>
          <w:rFonts w:hint="eastAsia" w:ascii="楷体" w:hAnsi="楷体" w:eastAsia="楷体" w:cs="楷体"/>
          <w:b/>
          <w:color w:val="000000"/>
          <w:sz w:val="32"/>
          <w:szCs w:val="32"/>
          <w:lang w:eastAsia="zh-CN"/>
        </w:rPr>
        <w:t>（一）全力参与建设广东大埔张弼士博物馆并派员协助开业。</w:t>
      </w:r>
    </w:p>
    <w:p>
      <w:pPr>
        <w:ind w:firstLine="640" w:firstLineChars="200"/>
        <w:jc w:val="center"/>
        <w:rPr>
          <w:rFonts w:hint="eastAsia" w:ascii="仿宋" w:hAnsi="仿宋" w:eastAsia="仿宋"/>
          <w:b/>
          <w:bCs/>
          <w:sz w:val="30"/>
          <w:szCs w:val="30"/>
        </w:rPr>
      </w:pPr>
      <w:r>
        <w:rPr>
          <w:rFonts w:hint="eastAsia" w:ascii="仿宋_GB2312" w:hAnsi="仿宋_GB2312" w:eastAsia="仿宋_GB2312" w:cs="仿宋_GB2312"/>
          <w:sz w:val="32"/>
          <w:szCs w:val="32"/>
          <w:lang w:val="en-US" w:eastAsia="zh-CN"/>
        </w:rPr>
        <w:t>张弼士作为张裕葡萄酒的创始人，2021年是张弼士先生诞辰180周年，受张弼士先生老家梅州大埔县政府邀请，我馆参与张弼士博物馆共建活动，将有利于更广泛地宣传张弼士一生实业救国、实干兴邦、自强不息的中国民族工业精神，对当地乡村旅游及经济的发展有着重大的促进作用。</w:t>
      </w:r>
      <w:r>
        <w:rPr>
          <w:rFonts w:hint="eastAsia" w:ascii="仿宋_GB2312" w:hAnsi="仿宋_GB2312" w:eastAsia="仿宋_GB2312" w:cs="仿宋_GB2312"/>
          <w:color w:val="333333"/>
          <w:spacing w:val="8"/>
          <w:sz w:val="30"/>
          <w:szCs w:val="30"/>
          <w:lang w:eastAsia="zh-CN"/>
        </w:rPr>
        <w:drawing>
          <wp:inline distT="0" distB="0" distL="114300" distR="114300">
            <wp:extent cx="5295900" cy="3971925"/>
            <wp:effectExtent l="0" t="0" r="0" b="9525"/>
            <wp:docPr id="8" name="图片 8" descr="1c0774e6b013c0f77059b3421d62a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c0774e6b013c0f77059b3421d62ad78"/>
                    <pic:cNvPicPr>
                      <a:picLocks noChangeAspect="1"/>
                    </pic:cNvPicPr>
                  </pic:nvPicPr>
                  <pic:blipFill>
                    <a:blip r:embed="rId12"/>
                    <a:stretch>
                      <a:fillRect/>
                    </a:stretch>
                  </pic:blipFill>
                  <pic:spPr>
                    <a:xfrm>
                      <a:off x="0" y="0"/>
                      <a:ext cx="5295900" cy="3971925"/>
                    </a:xfrm>
                    <a:prstGeom prst="rect">
                      <a:avLst/>
                    </a:prstGeom>
                  </pic:spPr>
                </pic:pic>
              </a:graphicData>
            </a:graphic>
          </wp:inline>
        </w:drawing>
      </w:r>
    </w:p>
    <w:p>
      <w:pPr>
        <w:numPr>
          <w:ilvl w:val="0"/>
          <w:numId w:val="0"/>
        </w:numPr>
        <w:ind w:firstLine="643" w:firstLineChars="200"/>
        <w:rPr>
          <w:rFonts w:hint="eastAsia" w:ascii="楷体" w:hAnsi="楷体" w:eastAsia="楷体" w:cs="楷体"/>
          <w:b/>
          <w:color w:val="000000"/>
          <w:sz w:val="32"/>
          <w:szCs w:val="32"/>
          <w:lang w:eastAsia="zh-CN"/>
        </w:rPr>
      </w:pPr>
      <w:r>
        <w:rPr>
          <w:rFonts w:hint="eastAsia" w:ascii="楷体" w:hAnsi="楷体" w:eastAsia="楷体" w:cs="楷体"/>
          <w:b/>
          <w:color w:val="000000"/>
          <w:sz w:val="32"/>
          <w:szCs w:val="32"/>
          <w:lang w:eastAsia="zh-CN"/>
        </w:rPr>
        <w:t>（二）利用各类协会平台，扩大博物馆品牌的影响力。</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2021年，我馆担任中国旅游协会商品与装备分会副会长单位，于波馆长担任烟台旅游协会会长和烟台市博物馆学会副会长职务，积极参与政府和行业组织各类会议，为烟台文博事业发展献计献策，组织协会会员单位与其它行业协会交流互动，实现共赢发展。</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2、组织中国酒业协会劲酒保健酒与张裕葡萄酒合作研讨会和通化葡萄酒与张裕葡萄酒技术研讨会，取得丰硕成果。</w:t>
      </w:r>
    </w:p>
    <w:p>
      <w:pPr>
        <w:jc w:val="left"/>
        <w:rPr>
          <w:rFonts w:ascii="仿宋" w:hAnsi="仿宋" w:eastAsia="仿宋" w:cs="仿宋"/>
          <w:sz w:val="32"/>
          <w:szCs w:val="32"/>
        </w:rPr>
      </w:pPr>
    </w:p>
    <w:p>
      <w:pPr>
        <w:ind w:firstLine="640" w:firstLineChars="200"/>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2021年12月28日</w:t>
      </w:r>
    </w:p>
    <w:p>
      <w:pPr>
        <w:rPr>
          <w:rFonts w:hint="default"/>
          <w:sz w:val="30"/>
          <w:szCs w:val="30"/>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ascii="黑体" w:hAnsi="黑体" w:eastAsia="黑体" w:cs="黑体"/>
        <w:sz w:val="28"/>
        <w:szCs w:val="44"/>
        <w:lang w:val="en-US" w:eastAsia="zh-CN"/>
      </w:rPr>
    </w:pPr>
    <w:r>
      <w:rPr>
        <w:rFonts w:hint="eastAsia" w:ascii="黑体" w:hAnsi="黑体" w:eastAsia="黑体" w:cs="黑体"/>
        <w:sz w:val="28"/>
        <w:szCs w:val="44"/>
        <w:lang w:val="en-US" w:eastAsia="zh-CN"/>
      </w:rPr>
      <w:t>附件1024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zZmFlN2FlMDVhYzM3NjYzYzI1ODMzMmFmN2FjZWYifQ=="/>
  </w:docVars>
  <w:rsids>
    <w:rsidRoot w:val="00000000"/>
    <w:rsid w:val="00161101"/>
    <w:rsid w:val="0159125A"/>
    <w:rsid w:val="049225F7"/>
    <w:rsid w:val="04BA33D2"/>
    <w:rsid w:val="0670208F"/>
    <w:rsid w:val="0A666377"/>
    <w:rsid w:val="0C1761D1"/>
    <w:rsid w:val="13B71997"/>
    <w:rsid w:val="14750152"/>
    <w:rsid w:val="25866BB4"/>
    <w:rsid w:val="29B4483E"/>
    <w:rsid w:val="2EB1797A"/>
    <w:rsid w:val="2EB27A3E"/>
    <w:rsid w:val="2F774E62"/>
    <w:rsid w:val="309F46C7"/>
    <w:rsid w:val="397C6606"/>
    <w:rsid w:val="3DFA38BE"/>
    <w:rsid w:val="428836F9"/>
    <w:rsid w:val="428B3C4D"/>
    <w:rsid w:val="48396FFD"/>
    <w:rsid w:val="48AF11AF"/>
    <w:rsid w:val="49060625"/>
    <w:rsid w:val="499712BA"/>
    <w:rsid w:val="4BF61962"/>
    <w:rsid w:val="4EC810D9"/>
    <w:rsid w:val="53E06F18"/>
    <w:rsid w:val="559824F4"/>
    <w:rsid w:val="578D5466"/>
    <w:rsid w:val="57A57F74"/>
    <w:rsid w:val="57D20026"/>
    <w:rsid w:val="596D13BF"/>
    <w:rsid w:val="5A206415"/>
    <w:rsid w:val="5D404CC1"/>
    <w:rsid w:val="62A25C01"/>
    <w:rsid w:val="6592055C"/>
    <w:rsid w:val="6E50313F"/>
    <w:rsid w:val="72037D72"/>
    <w:rsid w:val="73B71CC0"/>
    <w:rsid w:val="75764704"/>
    <w:rsid w:val="75C0117C"/>
    <w:rsid w:val="79AA4689"/>
    <w:rsid w:val="7DD97196"/>
    <w:rsid w:val="7EB31BA5"/>
    <w:rsid w:val="7FA03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4"/>
      <w:lang w:val="en-US" w:eastAsia="zh-CN" w:bidi="ar-SA"/>
    </w:rPr>
  </w:style>
  <w:style w:type="character" w:default="1" w:styleId="6">
    <w:name w:val="Default Paragraph Font"/>
    <w:autoRedefine/>
    <w:qFormat/>
    <w:uiPriority w:val="0"/>
  </w:style>
  <w:style w:type="table" w:default="1" w:styleId="4">
    <w:name w:val="Normal Table"/>
    <w:autoRedefine/>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3333</Words>
  <Characters>3455</Characters>
  <Paragraphs>37</Paragraphs>
  <TotalTime>0</TotalTime>
  <ScaleCrop>false</ScaleCrop>
  <LinksUpToDate>false</LinksUpToDate>
  <CharactersWithSpaces>3469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2020-05-20T08:38:00Z</dcterms:created>
  <dc:creator>Administrator</dc:creator>
  <cp:lastModifiedBy>曹余宽</cp:lastModifiedBy>
  <dcterms:modified xsi:type="dcterms:W3CDTF">2024-02-22T07:31:28Z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64617A5BEA45455CB153C4A7FCA72B0E_13</vt:lpwstr>
  </property>
</Properties>
</file>